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54" w:rsidRDefault="00DB7B54" w:rsidP="00DB7B54">
      <w:pPr>
        <w:ind w:left="720"/>
        <w:rPr>
          <w:b/>
          <w:sz w:val="32"/>
          <w:szCs w:val="32"/>
        </w:rPr>
      </w:pPr>
      <w:r w:rsidRPr="00235F20">
        <w:rPr>
          <w:b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0.7pt;margin-top:.8pt;width:297.4pt;height:21.75pt;z-index:251660288;mso-width-percent:400;mso-height-percent:200;mso-width-percent:400;mso-height-percent:200;mso-width-relative:margin;mso-height-relative:margin">
            <v:textbox style="mso-next-textbox:#_x0000_s1026;mso-fit-shape-to-text:t">
              <w:txbxContent>
                <w:p w:rsidR="00DB7B54" w:rsidRDefault="00DB7B54" w:rsidP="00DB7B54">
                  <w:r>
                    <w:t>Конкурентные преимущества Михайловского района</w:t>
                  </w:r>
                </w:p>
              </w:txbxContent>
            </v:textbox>
          </v:shape>
        </w:pict>
      </w:r>
    </w:p>
    <w:p w:rsidR="00DB7B54" w:rsidRDefault="00DB7B54" w:rsidP="00DB7B54">
      <w:pPr>
        <w:ind w:left="72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707.05pt;margin-top:10.45pt;width:0;height:16.3pt;z-index:251686912" o:connectortype="straight"/>
        </w:pict>
      </w:r>
      <w:r>
        <w:rPr>
          <w:b/>
          <w:noProof/>
          <w:sz w:val="32"/>
          <w:szCs w:val="32"/>
          <w:lang w:eastAsia="ru-RU"/>
        </w:rPr>
        <w:pict>
          <v:shape id="_x0000_s1051" type="#_x0000_t32" style="position:absolute;left:0;text-align:left;margin-left:569.8pt;margin-top:10.45pt;width:.75pt;height:24.45pt;z-index:251685888" o:connectortype="straight"/>
        </w:pict>
      </w:r>
      <w:r>
        <w:rPr>
          <w:b/>
          <w:noProof/>
          <w:sz w:val="32"/>
          <w:szCs w:val="32"/>
          <w:lang w:eastAsia="ru-RU"/>
        </w:rPr>
        <w:pict>
          <v:shape id="_x0000_s1050" type="#_x0000_t32" style="position:absolute;left:0;text-align:left;margin-left:437.05pt;margin-top:10.45pt;width:.75pt;height:25.65pt;z-index:251684864" o:connectortype="straight"/>
        </w:pict>
      </w:r>
      <w:r>
        <w:rPr>
          <w:b/>
          <w:noProof/>
          <w:sz w:val="32"/>
          <w:szCs w:val="32"/>
          <w:lang w:eastAsia="ru-RU"/>
        </w:rPr>
        <w:pict>
          <v:shape id="_x0000_s1049" type="#_x0000_t32" style="position:absolute;left:0;text-align:left;margin-left:306.55pt;margin-top:10.45pt;width:0;height:25.65pt;z-index:251683840" o:connectortype="straight"/>
        </w:pict>
      </w:r>
      <w:r>
        <w:rPr>
          <w:b/>
          <w:noProof/>
          <w:sz w:val="32"/>
          <w:szCs w:val="32"/>
          <w:lang w:eastAsia="ru-RU"/>
        </w:rPr>
        <w:pict>
          <v:shape id="_x0000_s1048" type="#_x0000_t32" style="position:absolute;left:0;text-align:left;margin-left:192.55pt;margin-top:10.45pt;width:0;height:24.45pt;z-index:251682816" o:connectortype="straight"/>
        </w:pict>
      </w:r>
      <w:r>
        <w:rPr>
          <w:b/>
          <w:noProof/>
          <w:sz w:val="32"/>
          <w:szCs w:val="32"/>
          <w:lang w:eastAsia="ru-RU"/>
        </w:rPr>
        <w:pict>
          <v:shape id="_x0000_s1047" type="#_x0000_t32" style="position:absolute;left:0;text-align:left;margin-left:35.8pt;margin-top:10.45pt;width:0;height:16.3pt;z-index:251681792" o:connectortype="straight"/>
        </w:pict>
      </w:r>
      <w:r>
        <w:rPr>
          <w:b/>
          <w:noProof/>
          <w:sz w:val="32"/>
          <w:szCs w:val="32"/>
          <w:lang w:eastAsia="ru-RU"/>
        </w:rPr>
        <w:pict>
          <v:shape id="_x0000_s1046" type="#_x0000_t32" style="position:absolute;left:0;text-align:left;margin-left:373.3pt;margin-top:4.55pt;width:0;height:5.9pt;z-index:251680768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045" type="#_x0000_t32" style="position:absolute;left:0;text-align:left;margin-left:35.8pt;margin-top:10.45pt;width:671.25pt;height:0;z-index:251679744" o:connectortype="straight"/>
        </w:pict>
      </w:r>
    </w:p>
    <w:p w:rsidR="00DB7B54" w:rsidRDefault="00DB7B54" w:rsidP="00DB7B54">
      <w:pPr>
        <w:ind w:left="720"/>
        <w:rPr>
          <w:b/>
          <w:sz w:val="32"/>
          <w:szCs w:val="32"/>
        </w:rPr>
      </w:pPr>
      <w:r w:rsidRPr="00235F20">
        <w:rPr>
          <w:b/>
          <w:noProof/>
          <w:sz w:val="32"/>
          <w:szCs w:val="32"/>
          <w:lang w:eastAsia="en-US"/>
        </w:rPr>
        <w:pict>
          <v:shape id="_x0000_s1031" type="#_x0000_t202" style="position:absolute;left:0;text-align:left;margin-left:522.6pt;margin-top:16.5pt;width:102.7pt;height:34.8pt;z-index:251665408;mso-width-relative:margin;mso-height-relative:margin">
            <v:textbox style="mso-next-textbox:#_x0000_s1031">
              <w:txbxContent>
                <w:p w:rsidR="00DB7B54" w:rsidRPr="006F0771" w:rsidRDefault="00DB7B54" w:rsidP="00DB7B54">
                  <w:pPr>
                    <w:rPr>
                      <w:sz w:val="20"/>
                      <w:szCs w:val="20"/>
                    </w:rPr>
                  </w:pPr>
                  <w:r w:rsidRPr="006F0771">
                    <w:rPr>
                      <w:sz w:val="20"/>
                      <w:szCs w:val="20"/>
                    </w:rPr>
                    <w:t>Производственный потенциал</w:t>
                  </w:r>
                </w:p>
              </w:txbxContent>
            </v:textbox>
          </v:shape>
        </w:pict>
      </w:r>
      <w:r w:rsidRPr="00235F20">
        <w:rPr>
          <w:b/>
          <w:noProof/>
          <w:sz w:val="32"/>
          <w:szCs w:val="32"/>
          <w:lang w:eastAsia="en-US"/>
        </w:rPr>
        <w:pict>
          <v:shape id="_x0000_s1030" type="#_x0000_t202" style="position:absolute;left:0;text-align:left;margin-left:377.75pt;margin-top:17.7pt;width:115.55pt;height:29.85pt;z-index:251664384;mso-width-relative:margin;mso-height-relative:margin">
            <v:textbox style="mso-next-textbox:#_x0000_s1030">
              <w:txbxContent>
                <w:p w:rsidR="00DB7B54" w:rsidRPr="006F0771" w:rsidRDefault="00DB7B54" w:rsidP="00DB7B54">
                  <w:pPr>
                    <w:rPr>
                      <w:sz w:val="20"/>
                      <w:szCs w:val="20"/>
                    </w:rPr>
                  </w:pPr>
                  <w:r w:rsidRPr="006F0771">
                    <w:rPr>
                      <w:sz w:val="20"/>
                      <w:szCs w:val="20"/>
                    </w:rPr>
                    <w:t>Инфраструктура</w:t>
                  </w:r>
                </w:p>
              </w:txbxContent>
            </v:textbox>
          </v:shape>
        </w:pict>
      </w:r>
      <w:r w:rsidRPr="00235F20">
        <w:rPr>
          <w:b/>
          <w:noProof/>
          <w:sz w:val="32"/>
          <w:szCs w:val="32"/>
          <w:lang w:eastAsia="en-US"/>
        </w:rPr>
        <w:pict>
          <v:shape id="_x0000_s1029" type="#_x0000_t202" style="position:absolute;left:0;text-align:left;margin-left:260.05pt;margin-top:17.7pt;width:91.5pt;height:29.85pt;z-index:251663360;mso-width-relative:margin;mso-height-relative:margin">
            <v:textbox style="mso-next-textbox:#_x0000_s1029">
              <w:txbxContent>
                <w:p w:rsidR="00DB7B54" w:rsidRPr="006F0771" w:rsidRDefault="00DB7B54" w:rsidP="00DB7B54">
                  <w:pPr>
                    <w:rPr>
                      <w:sz w:val="20"/>
                      <w:szCs w:val="20"/>
                    </w:rPr>
                  </w:pPr>
                  <w:r w:rsidRPr="006F0771">
                    <w:rPr>
                      <w:sz w:val="20"/>
                      <w:szCs w:val="20"/>
                    </w:rPr>
                    <w:t>Экология</w:t>
                  </w:r>
                </w:p>
              </w:txbxContent>
            </v:textbox>
          </v:shape>
        </w:pict>
      </w:r>
      <w:r w:rsidRPr="00235F20">
        <w:rPr>
          <w:b/>
          <w:noProof/>
          <w:sz w:val="32"/>
          <w:szCs w:val="32"/>
          <w:lang w:eastAsia="en-US"/>
        </w:rPr>
        <w:pict>
          <v:shape id="_x0000_s1028" type="#_x0000_t202" style="position:absolute;left:0;text-align:left;margin-left:146.05pt;margin-top:16.5pt;width:102pt;height:47.55pt;z-index:251662336;mso-width-relative:margin;mso-height-relative:margin">
            <v:textbox style="mso-next-textbox:#_x0000_s1028">
              <w:txbxContent>
                <w:p w:rsidR="00DB7B54" w:rsidRPr="006F0771" w:rsidRDefault="00DB7B54" w:rsidP="00DB7B54">
                  <w:pPr>
                    <w:rPr>
                      <w:sz w:val="20"/>
                      <w:szCs w:val="20"/>
                    </w:rPr>
                  </w:pPr>
                  <w:r w:rsidRPr="006F0771">
                    <w:rPr>
                      <w:sz w:val="20"/>
                      <w:szCs w:val="20"/>
                    </w:rPr>
                    <w:t>Демографический потенциал и рынок труда</w:t>
                  </w:r>
                </w:p>
              </w:txbxContent>
            </v:textbox>
          </v:shape>
        </w:pict>
      </w:r>
      <w:r w:rsidRPr="00235F20">
        <w:rPr>
          <w:b/>
          <w:noProof/>
          <w:sz w:val="32"/>
          <w:szCs w:val="32"/>
          <w:lang w:eastAsia="en-US"/>
        </w:rPr>
        <w:pict>
          <v:shape id="_x0000_s1027" type="#_x0000_t202" style="position:absolute;left:0;text-align:left;margin-left:3.55pt;margin-top:8.35pt;width:123pt;height:42.95pt;z-index:251661312;mso-width-relative:margin;mso-height-relative:margin">
            <v:textbox style="mso-next-textbox:#_x0000_s1027">
              <w:txbxContent>
                <w:p w:rsidR="00DB7B54" w:rsidRPr="006F0771" w:rsidRDefault="00DB7B54" w:rsidP="00DB7B54">
                  <w:pPr>
                    <w:rPr>
                      <w:sz w:val="20"/>
                      <w:szCs w:val="20"/>
                    </w:rPr>
                  </w:pPr>
                  <w:r w:rsidRPr="006F0771">
                    <w:rPr>
                      <w:sz w:val="20"/>
                      <w:szCs w:val="20"/>
                    </w:rPr>
                    <w:t>Географическое положение и природные условия</w:t>
                  </w:r>
                </w:p>
              </w:txbxContent>
            </v:textbox>
          </v:shape>
        </w:pict>
      </w:r>
      <w:r w:rsidRPr="006F0771">
        <w:rPr>
          <w:b/>
          <w:noProof/>
          <w:sz w:val="32"/>
          <w:szCs w:val="32"/>
          <w:lang w:eastAsia="en-US"/>
        </w:rPr>
        <w:pict>
          <v:shape id="_x0000_s1038" type="#_x0000_t202" style="position:absolute;left:0;text-align:left;margin-left:661.3pt;margin-top:8.4pt;width:99.75pt;height:63.15pt;z-index:251672576;mso-width-relative:margin;mso-height-relative:margin">
            <v:textbox style="mso-next-textbox:#_x0000_s1038">
              <w:txbxContent>
                <w:p w:rsidR="00DB7B54" w:rsidRPr="006F0771" w:rsidRDefault="00DB7B54" w:rsidP="00DB7B54">
                  <w:pPr>
                    <w:rPr>
                      <w:sz w:val="20"/>
                      <w:szCs w:val="20"/>
                    </w:rPr>
                  </w:pPr>
                  <w:r w:rsidRPr="006F0771">
                    <w:rPr>
                      <w:sz w:val="20"/>
                      <w:szCs w:val="20"/>
                    </w:rPr>
                    <w:t>Перспективы экономического развития и инвестиционный климат</w:t>
                  </w:r>
                </w:p>
              </w:txbxContent>
            </v:textbox>
          </v:shape>
        </w:pict>
      </w:r>
    </w:p>
    <w:p w:rsidR="00DB7B54" w:rsidRDefault="00DB7B54" w:rsidP="00DB7B54">
      <w:pPr>
        <w:ind w:left="720"/>
        <w:rPr>
          <w:b/>
          <w:sz w:val="32"/>
          <w:szCs w:val="32"/>
        </w:rPr>
      </w:pPr>
    </w:p>
    <w:p w:rsidR="00DB7B54" w:rsidRDefault="00DB7B54" w:rsidP="00DB7B54">
      <w:pPr>
        <w:ind w:left="72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 id="_x0000_s1043" type="#_x0000_t32" style="position:absolute;left:0;text-align:left;margin-left:581.05pt;margin-top:14.5pt;width:.75pt;height:30pt;z-index:251677696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042" type="#_x0000_t32" style="position:absolute;left:0;text-align:left;margin-left:437.05pt;margin-top:10.75pt;width:.75pt;height:37.9pt;z-index:251676672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041" type="#_x0000_t32" style="position:absolute;left:0;text-align:left;margin-left:311.8pt;margin-top:10.75pt;width:0;height:33.75pt;z-index:251675648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039" type="#_x0000_t32" style="position:absolute;left:0;text-align:left;margin-left:57.55pt;margin-top:14.5pt;width:0;height:30pt;z-index:251673600" o:connectortype="straight">
            <v:stroke endarrow="block"/>
          </v:shape>
        </w:pict>
      </w:r>
    </w:p>
    <w:p w:rsidR="00DB7B54" w:rsidRDefault="00DB7B54" w:rsidP="00DB7B54">
      <w:pPr>
        <w:ind w:left="72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 id="_x0000_s1044" type="#_x0000_t32" style="position:absolute;left:0;text-align:left;margin-left:718.3pt;margin-top:16.35pt;width:.75pt;height:13.9pt;flip:x;z-index:251678720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040" type="#_x0000_t32" style="position:absolute;left:0;text-align:left;margin-left:201.1pt;margin-top:8.85pt;width:0;height:33.75pt;z-index:251674624" o:connectortype="straight">
            <v:stroke endarrow="block"/>
          </v:shape>
        </w:pict>
      </w:r>
    </w:p>
    <w:p w:rsidR="00DB7B54" w:rsidRDefault="00DB7B54" w:rsidP="00DB7B54">
      <w:pPr>
        <w:ind w:left="72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 id="_x0000_s1037" type="#_x0000_t202" style="position:absolute;left:0;text-align:left;margin-left:661.3pt;margin-top:11.85pt;width:114pt;height:249.55pt;z-index:251671552">
            <v:textbox style="mso-next-textbox:#_x0000_s1037">
              <w:txbxContent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Относительно стабильное экономическое положение района;</w:t>
                  </w:r>
                </w:p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Достаточно высокая инвестиционная привлекательность с точки зрения близости к областному центру, наличия свободных инвестиционных площадок для ведения бизнеса, площадок для жилищного строительства;</w:t>
                  </w:r>
                </w:p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Поддержка со стороны районной власти инициатив малого и среднего бизнеса.</w:t>
                  </w:r>
                </w:p>
              </w:txbxContent>
            </v:textbox>
          </v:shape>
        </w:pict>
      </w:r>
      <w:r w:rsidRPr="00EA30B3">
        <w:rPr>
          <w:b/>
          <w:noProof/>
          <w:sz w:val="32"/>
          <w:szCs w:val="32"/>
          <w:lang w:eastAsia="en-US"/>
        </w:rPr>
        <w:pict>
          <v:shape id="_x0000_s1036" type="#_x0000_t202" style="position:absolute;left:0;text-align:left;margin-left:530.1pt;margin-top:11.85pt;width:101.95pt;height:237.85pt;z-index:251670528;mso-width-relative:margin;mso-height-relative:margin">
            <v:textbox style="mso-next-textbox:#_x0000_s1036">
              <w:txbxContent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Внедрение новых технологий в сельском хозяйстве;</w:t>
                  </w:r>
                </w:p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Приобретение высокотехнологичной сельскохозяйственной техники;</w:t>
                  </w:r>
                </w:p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Приобретение племенного скота;</w:t>
                  </w:r>
                </w:p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Разработка месторождений полезных ископаемых;</w:t>
                  </w:r>
                </w:p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Возможность развития туризма.</w:t>
                  </w:r>
                </w:p>
              </w:txbxContent>
            </v:textbox>
          </v:shape>
        </w:pict>
      </w:r>
      <w:r w:rsidRPr="00EA30B3">
        <w:rPr>
          <w:b/>
          <w:noProof/>
          <w:sz w:val="32"/>
          <w:szCs w:val="32"/>
          <w:lang w:eastAsia="en-US"/>
        </w:rPr>
        <w:pict>
          <v:shape id="_x0000_s1035" type="#_x0000_t202" style="position:absolute;left:0;text-align:left;margin-left:373.3pt;margin-top:11.85pt;width:130.5pt;height:248.55pt;z-index:251669504;mso-width-relative:margin;mso-height-relative:margin">
            <v:textbox style="mso-next-textbox:#_x0000_s1035">
              <w:txbxContent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Наличие всех элементов необходимой инфраструктуры:</w:t>
                  </w:r>
                </w:p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автомобильное сообщение с населенными пунктами;</w:t>
                  </w:r>
                </w:p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 xml:space="preserve">- железнодорожное сообщение посредство железнодорожной ветки </w:t>
                  </w:r>
                  <w:proofErr w:type="spellStart"/>
                  <w:proofErr w:type="gramStart"/>
                  <w:r w:rsidRPr="00855FD2">
                    <w:rPr>
                      <w:sz w:val="20"/>
                      <w:szCs w:val="20"/>
                    </w:rPr>
                    <w:t>Поярково-Завитая</w:t>
                  </w:r>
                  <w:proofErr w:type="spellEnd"/>
                  <w:proofErr w:type="gramEnd"/>
                  <w:r w:rsidRPr="00855FD2">
                    <w:rPr>
                      <w:sz w:val="20"/>
                      <w:szCs w:val="20"/>
                    </w:rPr>
                    <w:t>;</w:t>
                  </w:r>
                </w:p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водное сообщение по реке Амур;</w:t>
                  </w:r>
                </w:p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телефонная и сотовая связь во всех населенных пунктах;</w:t>
                  </w:r>
                </w:p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доступ к сети «интернет» в большинстве населенных пунктов;</w:t>
                  </w:r>
                </w:p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все виды социальной инфраструктуры.</w:t>
                  </w:r>
                </w:p>
              </w:txbxContent>
            </v:textbox>
          </v:shape>
        </w:pict>
      </w:r>
      <w:r w:rsidRPr="00235F20">
        <w:rPr>
          <w:b/>
          <w:noProof/>
          <w:sz w:val="32"/>
          <w:szCs w:val="32"/>
          <w:lang w:eastAsia="en-US"/>
        </w:rPr>
        <w:pict>
          <v:shape id="_x0000_s1034" type="#_x0000_t202" style="position:absolute;left:0;text-align:left;margin-left:260.05pt;margin-top:7.7pt;width:91.5pt;height:164.25pt;z-index:251668480;mso-width-relative:margin;mso-height-relative:margin">
            <v:textbox style="mso-next-textbox:#_x0000_s1034">
              <w:txbxContent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Благоприятная экологическая обстановка;</w:t>
                  </w:r>
                </w:p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Расположение района в зоне с чистым воздухом, водой, живописной местностью.</w:t>
                  </w:r>
                </w:p>
              </w:txbxContent>
            </v:textbox>
          </v:shape>
        </w:pict>
      </w:r>
      <w:r w:rsidRPr="00235F20">
        <w:rPr>
          <w:b/>
          <w:noProof/>
          <w:sz w:val="32"/>
          <w:szCs w:val="32"/>
          <w:lang w:eastAsia="en-US"/>
        </w:rPr>
        <w:pict>
          <v:shape id="_x0000_s1032" type="#_x0000_t202" style="position:absolute;left:0;text-align:left;margin-left:3.55pt;margin-top:3.15pt;width:123pt;height:168.8pt;z-index:251666432;mso-width-relative:margin;mso-height-relative:margin">
            <v:textbox style="mso-next-textbox:#_x0000_s1032">
              <w:txbxContent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Близость к областному центру;</w:t>
                  </w:r>
                </w:p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Наличие трех видов транспортного сообщения (автомобильное, железнодорожное, водное);</w:t>
                  </w:r>
                </w:p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Разведанные запасы полезных ископаемых (глины</w:t>
                  </w:r>
                  <w:r>
                    <w:rPr>
                      <w:sz w:val="20"/>
                      <w:szCs w:val="20"/>
                    </w:rPr>
                    <w:t xml:space="preserve"> кирпичные</w:t>
                  </w:r>
                  <w:r w:rsidRPr="00855FD2">
                    <w:rPr>
                      <w:sz w:val="20"/>
                      <w:szCs w:val="20"/>
                    </w:rPr>
                    <w:t>, песок</w:t>
                  </w:r>
                  <w:r>
                    <w:rPr>
                      <w:sz w:val="20"/>
                      <w:szCs w:val="20"/>
                    </w:rPr>
                    <w:t xml:space="preserve"> строительный</w:t>
                  </w:r>
                  <w:r w:rsidRPr="00855FD2">
                    <w:rPr>
                      <w:sz w:val="20"/>
                      <w:szCs w:val="20"/>
                    </w:rPr>
                    <w:t>, ПГС).</w:t>
                  </w:r>
                </w:p>
              </w:txbxContent>
            </v:textbox>
          </v:shape>
        </w:pict>
      </w:r>
    </w:p>
    <w:p w:rsidR="00DB7B54" w:rsidRDefault="00DB7B54" w:rsidP="00DB7B54">
      <w:pPr>
        <w:ind w:left="720"/>
        <w:rPr>
          <w:b/>
          <w:sz w:val="32"/>
          <w:szCs w:val="32"/>
        </w:rPr>
      </w:pPr>
      <w:r w:rsidRPr="00235F20">
        <w:rPr>
          <w:b/>
          <w:noProof/>
          <w:sz w:val="32"/>
          <w:szCs w:val="32"/>
          <w:lang w:eastAsia="en-US"/>
        </w:rPr>
        <w:pict>
          <v:shape id="_x0000_s1033" type="#_x0000_t202" style="position:absolute;left:0;text-align:left;margin-left:146.05pt;margin-top:5.8pt;width:102pt;height:147.75pt;z-index:251667456;mso-width-relative:margin;mso-height-relative:margin">
            <v:textbox style="mso-next-textbox:#_x0000_s1033">
              <w:txbxContent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 xml:space="preserve">- Содействие </w:t>
                  </w:r>
                  <w:proofErr w:type="spellStart"/>
                  <w:r w:rsidRPr="00855FD2">
                    <w:rPr>
                      <w:sz w:val="20"/>
                      <w:szCs w:val="20"/>
                    </w:rPr>
                    <w:t>самозанятости</w:t>
                  </w:r>
                  <w:proofErr w:type="spellEnd"/>
                  <w:r w:rsidRPr="00855FD2">
                    <w:rPr>
                      <w:sz w:val="20"/>
                      <w:szCs w:val="20"/>
                    </w:rPr>
                    <w:t xml:space="preserve"> безработных граждан;</w:t>
                  </w:r>
                </w:p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Наличие свободной рабочей силы;</w:t>
                  </w:r>
                </w:p>
                <w:p w:rsidR="00DB7B54" w:rsidRPr="00855FD2" w:rsidRDefault="00DB7B54" w:rsidP="00DB7B54">
                  <w:pPr>
                    <w:jc w:val="both"/>
                    <w:rPr>
                      <w:sz w:val="20"/>
                      <w:szCs w:val="20"/>
                    </w:rPr>
                  </w:pPr>
                  <w:r w:rsidRPr="00855FD2">
                    <w:rPr>
                      <w:sz w:val="20"/>
                      <w:szCs w:val="20"/>
                    </w:rPr>
                    <w:t>- Наличие благоприятных условий для ведения бизнеса.</w:t>
                  </w:r>
                </w:p>
              </w:txbxContent>
            </v:textbox>
          </v:shape>
        </w:pict>
      </w:r>
    </w:p>
    <w:p w:rsidR="00DB7B54" w:rsidRDefault="00DB7B54" w:rsidP="00DB7B54">
      <w:pPr>
        <w:ind w:left="720"/>
        <w:rPr>
          <w:b/>
          <w:sz w:val="32"/>
          <w:szCs w:val="32"/>
        </w:rPr>
      </w:pPr>
    </w:p>
    <w:p w:rsidR="00DB7B54" w:rsidRDefault="00DB7B54" w:rsidP="00DB7B54">
      <w:pPr>
        <w:ind w:left="720"/>
        <w:rPr>
          <w:b/>
          <w:sz w:val="32"/>
          <w:szCs w:val="32"/>
        </w:rPr>
      </w:pPr>
    </w:p>
    <w:p w:rsidR="00DB7B54" w:rsidRDefault="00DB7B54" w:rsidP="00DB7B54">
      <w:pPr>
        <w:ind w:left="720"/>
        <w:rPr>
          <w:b/>
          <w:sz w:val="32"/>
          <w:szCs w:val="32"/>
        </w:rPr>
      </w:pPr>
    </w:p>
    <w:p w:rsidR="00DB7B54" w:rsidRDefault="00DB7B54" w:rsidP="00DB7B54">
      <w:pPr>
        <w:ind w:left="720"/>
        <w:rPr>
          <w:b/>
          <w:sz w:val="32"/>
          <w:szCs w:val="32"/>
        </w:rPr>
      </w:pPr>
    </w:p>
    <w:p w:rsidR="00DB7B54" w:rsidRDefault="00DB7B54" w:rsidP="00DB7B54">
      <w:pPr>
        <w:ind w:left="720"/>
        <w:rPr>
          <w:b/>
          <w:sz w:val="32"/>
          <w:szCs w:val="32"/>
        </w:rPr>
      </w:pPr>
    </w:p>
    <w:p w:rsidR="00DB7B54" w:rsidRDefault="00DB7B54" w:rsidP="00DB7B54">
      <w:pPr>
        <w:ind w:left="720"/>
        <w:rPr>
          <w:b/>
          <w:sz w:val="32"/>
          <w:szCs w:val="32"/>
        </w:rPr>
      </w:pPr>
    </w:p>
    <w:p w:rsidR="00DB7B54" w:rsidRDefault="00DB7B54" w:rsidP="00DB7B54">
      <w:pPr>
        <w:ind w:left="720"/>
        <w:rPr>
          <w:b/>
          <w:sz w:val="32"/>
          <w:szCs w:val="32"/>
        </w:rPr>
      </w:pPr>
    </w:p>
    <w:p w:rsidR="00DB7B54" w:rsidRDefault="00DB7B54" w:rsidP="00DB7B54">
      <w:pPr>
        <w:ind w:left="720"/>
        <w:rPr>
          <w:b/>
          <w:sz w:val="32"/>
          <w:szCs w:val="32"/>
        </w:rPr>
      </w:pPr>
    </w:p>
    <w:p w:rsidR="00DB7B54" w:rsidRDefault="00DB7B54" w:rsidP="00DB7B54">
      <w:pPr>
        <w:ind w:left="720"/>
        <w:rPr>
          <w:b/>
          <w:sz w:val="32"/>
          <w:szCs w:val="32"/>
        </w:rPr>
      </w:pPr>
    </w:p>
    <w:p w:rsidR="00DB7B54" w:rsidRDefault="00DB7B54" w:rsidP="00DB7B54">
      <w:pPr>
        <w:ind w:left="720"/>
        <w:rPr>
          <w:b/>
          <w:sz w:val="32"/>
          <w:szCs w:val="32"/>
        </w:rPr>
      </w:pPr>
    </w:p>
    <w:p w:rsidR="00DB7B54" w:rsidRDefault="00DB7B54" w:rsidP="00DB7B54">
      <w:pPr>
        <w:ind w:left="720"/>
        <w:rPr>
          <w:b/>
          <w:sz w:val="32"/>
          <w:szCs w:val="32"/>
        </w:rPr>
      </w:pPr>
    </w:p>
    <w:p w:rsidR="00DB7B54" w:rsidRDefault="00DB7B54" w:rsidP="00DB7B54">
      <w:pPr>
        <w:ind w:left="720"/>
        <w:rPr>
          <w:b/>
          <w:sz w:val="32"/>
          <w:szCs w:val="32"/>
        </w:rPr>
      </w:pPr>
    </w:p>
    <w:p w:rsidR="00DB7B54" w:rsidRDefault="00DB7B54" w:rsidP="00DB7B54">
      <w:pPr>
        <w:ind w:left="720"/>
        <w:rPr>
          <w:b/>
          <w:sz w:val="32"/>
          <w:szCs w:val="32"/>
        </w:rPr>
      </w:pPr>
    </w:p>
    <w:p w:rsidR="00DB7B54" w:rsidRDefault="00DB7B54" w:rsidP="00DB7B54">
      <w:pPr>
        <w:ind w:left="720"/>
        <w:rPr>
          <w:b/>
          <w:sz w:val="32"/>
          <w:szCs w:val="32"/>
        </w:rPr>
      </w:pPr>
    </w:p>
    <w:p w:rsidR="005D15FF" w:rsidRDefault="005D15FF"/>
    <w:sectPr w:rsidR="005D15FF" w:rsidSect="00DB7B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B54"/>
    <w:rsid w:val="00183569"/>
    <w:rsid w:val="00194426"/>
    <w:rsid w:val="00196BBF"/>
    <w:rsid w:val="001B3AE0"/>
    <w:rsid w:val="002926F9"/>
    <w:rsid w:val="002B5C26"/>
    <w:rsid w:val="00343F04"/>
    <w:rsid w:val="00360D1A"/>
    <w:rsid w:val="003E0FDB"/>
    <w:rsid w:val="00436C8D"/>
    <w:rsid w:val="004F45D8"/>
    <w:rsid w:val="00526122"/>
    <w:rsid w:val="005B6912"/>
    <w:rsid w:val="005D15FF"/>
    <w:rsid w:val="007A6C75"/>
    <w:rsid w:val="007B0150"/>
    <w:rsid w:val="008E1AF6"/>
    <w:rsid w:val="00933A62"/>
    <w:rsid w:val="009D196A"/>
    <w:rsid w:val="00AF411E"/>
    <w:rsid w:val="00B1469D"/>
    <w:rsid w:val="00BF7B01"/>
    <w:rsid w:val="00C16CAF"/>
    <w:rsid w:val="00C30118"/>
    <w:rsid w:val="00C652AE"/>
    <w:rsid w:val="00C86F33"/>
    <w:rsid w:val="00CD6544"/>
    <w:rsid w:val="00DB7B54"/>
    <w:rsid w:val="00DC43A5"/>
    <w:rsid w:val="00E64E40"/>
    <w:rsid w:val="00FC3112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41"/>
        <o:r id="V:Rule4" type="connector" idref="#_x0000_s1042"/>
        <o:r id="V:Rule5" type="connector" idref="#_x0000_s1043"/>
        <o:r id="V:Rule6" type="connector" idref="#_x0000_s1044"/>
        <o:r id="V:Rule7" type="connector" idref="#_x0000_s1045"/>
        <o:r id="V:Rule8" type="connector" idref="#_x0000_s1046"/>
        <o:r id="V:Rule9" type="connector" idref="#_x0000_s1047"/>
        <o:r id="V:Rule10" type="connector" idref="#_x0000_s1048"/>
        <o:r id="V:Rule11" type="connector" idref="#_x0000_s1049"/>
        <o:r id="V:Rule12" type="connector" idref="#_x0000_s1050"/>
        <o:r id="V:Rule13" type="connector" idref="#_x0000_s1051"/>
        <o:r id="V:Rule1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2018-11-09T00:26:00Z</dcterms:created>
  <dcterms:modified xsi:type="dcterms:W3CDTF">2018-11-09T00:26:00Z</dcterms:modified>
</cp:coreProperties>
</file>