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44D92" w14:textId="77777777" w:rsidR="00E47CC6" w:rsidRDefault="00063B37">
      <w:pPr>
        <w:pStyle w:val="1"/>
        <w:ind w:firstLine="720"/>
        <w:jc w:val="both"/>
      </w:pPr>
      <w:r>
        <w:rPr>
          <w:rStyle w:val="a3"/>
        </w:rPr>
        <w:t>В современных условиях по мере сокращения бюджетного финансирования на всех уровнях, в качестве основного источника инвестиционного финансирования являются средства предприятий и организаций, размещенных на территории муниципалитета, а также привлеченных и</w:t>
      </w:r>
      <w:r>
        <w:rPr>
          <w:rStyle w:val="a3"/>
        </w:rPr>
        <w:t>нвесторов. Достижение стабильного развития Завитинского округа возможно лишь на основе осуществления эффективной инвестиционной политики. С этой целью администрацией Завитинского округа разрабатывается новая Стратегия социально-экономического развития Зави</w:t>
      </w:r>
      <w:r>
        <w:rPr>
          <w:rStyle w:val="a3"/>
        </w:rPr>
        <w:t>тинского муниципального округа на период до 2035 года. Действующая Стратегия социально-экономического развития Завитинского района на период до 2025 года была разработана в 2014 году. Решение о разработке новой стратегии обусловлено изменившимися за послед</w:t>
      </w:r>
      <w:r>
        <w:rPr>
          <w:rStyle w:val="a3"/>
        </w:rPr>
        <w:t>ние годы приоритетами экономического развития геостратегических территорий, в том числе Дальнего Востока, определенными на государственном уровне. Стратегия включает в себя анализ состояния экономики и социальной сферы, потенциала Завитинского муниципально</w:t>
      </w:r>
      <w:r>
        <w:rPr>
          <w:rStyle w:val="a3"/>
        </w:rPr>
        <w:t>го округа, конкурентных преимуществ и проблем, определяет стратегические цели и задачи, приоритеты муниципальной политики, механизмы и условия их достижения. Содержит основные направления экономического и социального развития Завитинского округа, а также с</w:t>
      </w:r>
      <w:r>
        <w:rPr>
          <w:rStyle w:val="a3"/>
        </w:rPr>
        <w:t>оответствующие управленческие решения, которые обеспечат их эффективную реализацию.</w:t>
      </w:r>
    </w:p>
    <w:p w14:paraId="2E90D273" w14:textId="77777777" w:rsidR="00E47CC6" w:rsidRDefault="00063B37">
      <w:pPr>
        <w:pStyle w:val="1"/>
        <w:spacing w:after="320"/>
        <w:ind w:firstLine="720"/>
        <w:jc w:val="both"/>
      </w:pPr>
      <w:r>
        <w:rPr>
          <w:rStyle w:val="a3"/>
        </w:rPr>
        <w:t>Стратегической целью инвестиционной политики округа является формирование инвестиционного климата, способствующего динамичному росту инвестиций.</w:t>
      </w:r>
    </w:p>
    <w:p w14:paraId="04E65BA6" w14:textId="77777777" w:rsidR="00E47CC6" w:rsidRDefault="00063B37">
      <w:pPr>
        <w:pStyle w:val="11"/>
        <w:keepNext/>
        <w:keepLines/>
        <w:jc w:val="both"/>
      </w:pPr>
      <w:bookmarkStart w:id="0" w:name="bookmark0"/>
      <w:r>
        <w:rPr>
          <w:rStyle w:val="10"/>
          <w:b/>
          <w:bCs/>
        </w:rPr>
        <w:t>Приоритетными задачами в сф</w:t>
      </w:r>
      <w:r>
        <w:rPr>
          <w:rStyle w:val="10"/>
          <w:b/>
          <w:bCs/>
        </w:rPr>
        <w:t>ере инвестиционной политики являются:</w:t>
      </w:r>
      <w:bookmarkEnd w:id="0"/>
    </w:p>
    <w:p w14:paraId="1456A8ED" w14:textId="77777777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720"/>
        <w:jc w:val="both"/>
      </w:pPr>
      <w:r>
        <w:rPr>
          <w:rStyle w:val="a3"/>
        </w:rPr>
        <w:t>создание и развитие благоприятных условий для улучшения инвестиционной активности во всех сферах;</w:t>
      </w:r>
    </w:p>
    <w:p w14:paraId="5B9B59B9" w14:textId="77777777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720"/>
        <w:jc w:val="both"/>
      </w:pPr>
      <w:r>
        <w:rPr>
          <w:rStyle w:val="a3"/>
        </w:rPr>
        <w:t xml:space="preserve">создание благоприятных условий для реализации инвестиционных проектов в реальном секторе экономики, в том числе за счет </w:t>
      </w:r>
      <w:r>
        <w:rPr>
          <w:rStyle w:val="a3"/>
        </w:rPr>
        <w:t xml:space="preserve">совершенствования инструментов поддержки и использования механизмов государственно-частного и </w:t>
      </w:r>
      <w:proofErr w:type="spellStart"/>
      <w:r>
        <w:rPr>
          <w:rStyle w:val="a3"/>
        </w:rPr>
        <w:t>муниципально</w:t>
      </w:r>
      <w:proofErr w:type="spellEnd"/>
      <w:r>
        <w:rPr>
          <w:rStyle w:val="a3"/>
        </w:rPr>
        <w:t>-частного партнерства;</w:t>
      </w:r>
    </w:p>
    <w:p w14:paraId="71CDEEF0" w14:textId="77777777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720"/>
        <w:jc w:val="both"/>
      </w:pPr>
      <w:r>
        <w:rPr>
          <w:rStyle w:val="a3"/>
        </w:rPr>
        <w:t>активизация политики привлечения инвесторов путем повышения информационной открытости об инвестиционных возможностях округа, со</w:t>
      </w:r>
      <w:r>
        <w:rPr>
          <w:rStyle w:val="a3"/>
        </w:rPr>
        <w:t>здания и развития объектов, привлекательных для инвестиций;</w:t>
      </w:r>
    </w:p>
    <w:p w14:paraId="04545A23" w14:textId="77777777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620"/>
        <w:jc w:val="both"/>
      </w:pPr>
      <w:r>
        <w:rPr>
          <w:rStyle w:val="a3"/>
        </w:rPr>
        <w:t>реализация мероприятий Стандарта деятельности органов местного самоуправления по обеспечению благоприятного инвестиционного климата.</w:t>
      </w:r>
    </w:p>
    <w:p w14:paraId="3312A863" w14:textId="77777777" w:rsidR="00E47CC6" w:rsidRDefault="00063B37">
      <w:pPr>
        <w:pStyle w:val="11"/>
        <w:keepNext/>
        <w:keepLines/>
        <w:ind w:firstLine="620"/>
        <w:jc w:val="both"/>
      </w:pPr>
      <w:bookmarkStart w:id="1" w:name="bookmark2"/>
      <w:r>
        <w:rPr>
          <w:rStyle w:val="10"/>
          <w:b/>
          <w:bCs/>
        </w:rPr>
        <w:t>Точки роста в округе:</w:t>
      </w:r>
      <w:bookmarkEnd w:id="1"/>
    </w:p>
    <w:p w14:paraId="6DD2B63A" w14:textId="77777777" w:rsidR="00E47CC6" w:rsidRDefault="00063B37">
      <w:pPr>
        <w:pStyle w:val="1"/>
        <w:numPr>
          <w:ilvl w:val="0"/>
          <w:numId w:val="1"/>
        </w:numPr>
        <w:tabs>
          <w:tab w:val="left" w:pos="1714"/>
        </w:tabs>
        <w:ind w:firstLine="620"/>
        <w:jc w:val="both"/>
      </w:pPr>
      <w:r>
        <w:rPr>
          <w:rStyle w:val="a3"/>
        </w:rPr>
        <w:t>участие в реализации национальных проекто</w:t>
      </w:r>
      <w:r>
        <w:rPr>
          <w:rStyle w:val="a3"/>
        </w:rPr>
        <w:t>в;</w:t>
      </w:r>
    </w:p>
    <w:p w14:paraId="47A5CE39" w14:textId="77777777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620"/>
        <w:jc w:val="both"/>
      </w:pPr>
      <w:r>
        <w:rPr>
          <w:rStyle w:val="a3"/>
        </w:rPr>
        <w:t>наличие ресурсной базы для деятельности предприятий по производству пищевой продукции, строительных материалов;</w:t>
      </w:r>
    </w:p>
    <w:p w14:paraId="3EE543FD" w14:textId="77777777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620"/>
        <w:jc w:val="both"/>
      </w:pPr>
      <w:r>
        <w:rPr>
          <w:rStyle w:val="a3"/>
        </w:rPr>
        <w:t>дальнейшее развитие обрабатывающих производств, направленных, в том числе, на производство и переработку сельскохозяйственной продукции;</w:t>
      </w:r>
    </w:p>
    <w:p w14:paraId="7C6E0E3C" w14:textId="77777777" w:rsidR="00E47CC6" w:rsidRDefault="00063B37">
      <w:pPr>
        <w:pStyle w:val="1"/>
        <w:numPr>
          <w:ilvl w:val="0"/>
          <w:numId w:val="1"/>
        </w:numPr>
        <w:tabs>
          <w:tab w:val="left" w:pos="1714"/>
        </w:tabs>
        <w:ind w:firstLine="620"/>
        <w:jc w:val="both"/>
      </w:pPr>
      <w:r>
        <w:rPr>
          <w:rStyle w:val="a3"/>
        </w:rPr>
        <w:t>разв</w:t>
      </w:r>
      <w:r>
        <w:rPr>
          <w:rStyle w:val="a3"/>
        </w:rPr>
        <w:t>итие туризма и рекреационного бизнеса;</w:t>
      </w:r>
    </w:p>
    <w:p w14:paraId="2524FF05" w14:textId="327F3B69" w:rsidR="00E47CC6" w:rsidRDefault="00063B37">
      <w:pPr>
        <w:pStyle w:val="1"/>
        <w:numPr>
          <w:ilvl w:val="0"/>
          <w:numId w:val="1"/>
        </w:numPr>
        <w:tabs>
          <w:tab w:val="left" w:pos="1094"/>
        </w:tabs>
        <w:ind w:firstLine="600"/>
        <w:jc w:val="both"/>
        <w:rPr>
          <w:rStyle w:val="a3"/>
        </w:rPr>
      </w:pPr>
      <w:r>
        <w:rPr>
          <w:rStyle w:val="a3"/>
        </w:rPr>
        <w:t xml:space="preserve">развитие социальной и транспортной инфраструктуры </w:t>
      </w:r>
      <w:r>
        <w:rPr>
          <w:rStyle w:val="a3"/>
        </w:rPr>
        <w:lastRenderedPageBreak/>
        <w:t>(функционирование стадиона «Факел», спортивной школы, обустройство общественных территорий, планируемое строительство автодорожного путепровода через Транссибирскую же</w:t>
      </w:r>
      <w:r>
        <w:rPr>
          <w:rStyle w:val="a3"/>
        </w:rPr>
        <w:t>лезнодорожную магистраль в г. Завитинск и др.)</w:t>
      </w:r>
    </w:p>
    <w:p w14:paraId="5616ECC8" w14:textId="42F00307" w:rsidR="001C3C9D" w:rsidRDefault="001C3C9D">
      <w:pPr>
        <w:pStyle w:val="1"/>
        <w:numPr>
          <w:ilvl w:val="0"/>
          <w:numId w:val="1"/>
        </w:numPr>
        <w:tabs>
          <w:tab w:val="left" w:pos="1094"/>
        </w:tabs>
        <w:ind w:firstLine="600"/>
        <w:jc w:val="both"/>
      </w:pPr>
      <w:r w:rsidRPr="006F3FD2">
        <w:t>Строительство ветровых электростанций на территории Завитинского муниципального округа (</w:t>
      </w:r>
      <w:proofErr w:type="spellStart"/>
      <w:r w:rsidRPr="006F3FD2">
        <w:t>Успеновская</w:t>
      </w:r>
      <w:proofErr w:type="spellEnd"/>
      <w:r w:rsidRPr="006F3FD2">
        <w:t xml:space="preserve"> ВЭС) АО «Росатом Возобновляемая энергия» мощностью до 400 </w:t>
      </w:r>
      <w:proofErr w:type="spellStart"/>
      <w:r w:rsidRPr="006F3FD2">
        <w:t>МВт</w:t>
      </w:r>
      <w:proofErr w:type="gramStart"/>
      <w:r w:rsidRPr="006F3FD2">
        <w:t>.</w:t>
      </w:r>
      <w:proofErr w:type="gramEnd"/>
      <w:r w:rsidRPr="006F3FD2">
        <w:t>и</w:t>
      </w:r>
      <w:proofErr w:type="spellEnd"/>
      <w:r w:rsidRPr="006F3FD2">
        <w:t xml:space="preserve"> ПАО «Форвард Энерго» </w:t>
      </w:r>
      <w:r w:rsidRPr="006F3FD2">
        <w:rPr>
          <w:rFonts w:eastAsia="Calibri"/>
        </w:rPr>
        <w:t>мощностью до 150 МВт., что повлечет за собой создание рабочих мест в количестве до 100 единиц.</w:t>
      </w:r>
    </w:p>
    <w:sectPr w:rsidR="001C3C9D">
      <w:pgSz w:w="11900" w:h="16840"/>
      <w:pgMar w:top="1129" w:right="707" w:bottom="919" w:left="1498" w:header="701" w:footer="4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C4FE8" w14:textId="77777777" w:rsidR="00063B37" w:rsidRDefault="00063B37">
      <w:r>
        <w:separator/>
      </w:r>
    </w:p>
  </w:endnote>
  <w:endnote w:type="continuationSeparator" w:id="0">
    <w:p w14:paraId="03EC9B67" w14:textId="77777777" w:rsidR="00063B37" w:rsidRDefault="0006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82072" w14:textId="77777777" w:rsidR="00063B37" w:rsidRDefault="00063B37"/>
  </w:footnote>
  <w:footnote w:type="continuationSeparator" w:id="0">
    <w:p w14:paraId="3847ADDA" w14:textId="77777777" w:rsidR="00063B37" w:rsidRDefault="00063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816C8"/>
    <w:multiLevelType w:val="multilevel"/>
    <w:tmpl w:val="716A595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C6"/>
    <w:rsid w:val="00063B37"/>
    <w:rsid w:val="001C3C9D"/>
    <w:rsid w:val="00E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6FB9"/>
  <w15:docId w15:val="{DB99DF08-53C8-47F7-817E-C55C2BB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АВ</dc:creator>
  <cp:keywords/>
  <cp:lastModifiedBy>Admin</cp:lastModifiedBy>
  <cp:revision>2</cp:revision>
  <dcterms:created xsi:type="dcterms:W3CDTF">2026-03-05T07:16:00Z</dcterms:created>
  <dcterms:modified xsi:type="dcterms:W3CDTF">2026-03-05T07:18:00Z</dcterms:modified>
</cp:coreProperties>
</file>